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9C6FF8">
      <w:pPr>
        <w:rPr>
          <w:rFonts w:hint="eastAsia"/>
        </w:rPr>
      </w:pPr>
      <w:r>
        <w:rPr>
          <w:rFonts w:hint="eastAsia"/>
        </w:rPr>
        <w:t>Explanatory Notes on Main Statistical Indicators</w:t>
      </w:r>
    </w:p>
    <w:p w14:paraId="4CC22B72">
      <w:pPr>
        <w:rPr>
          <w:rFonts w:hint="eastAsia"/>
        </w:rPr>
      </w:pPr>
    </w:p>
    <w:p w14:paraId="45057BBE">
      <w:pPr>
        <w:rPr>
          <w:rFonts w:hint="eastAsia"/>
        </w:rPr>
      </w:pPr>
      <w:r>
        <w:rPr>
          <w:rFonts w:hint="eastAsia"/>
        </w:rPr>
        <w:t>Total Import and Export of Goods refer to the real value of commodities imported and exported across the border of China. They include the actual imports and exports through foreign trade, imported and exported goods under the processing and assembling trades and materials, supplies and gifts as aid given gratis between governments and by the United Nations and other international organizations, and contributions donated by overseas Chinese, compatriots in Hong Kong and Macao and Chinese with foreign citizenship, leasing commodities owned by tenant at the expiration of leasing period, the imported and exported commodities processed with imported materials, commodities trading in border areas (excluding mutual exchange goods), the imported and exported commodities and articles for public use of the Sino-foreign joint ventures, cooperative enterprises and ventures with sole foreign investment. Also included is import or export of samples and advertising goods for which CIF or FOB value are beyond the permitted ceiling (excluding goods of no trading or use value and free commodities for export), imported goods sold in China from bonded warehouses and other imported or exported goods. The indicator of the total imports and exports at customs can be used to observe the total size of external trade in a country. In accordance with the stipulation of the Chinese government, imports are calculated at CIF, while exports are calculated at FOB.</w:t>
      </w:r>
    </w:p>
    <w:p w14:paraId="47D767DF">
      <w:pPr>
        <w:rPr>
          <w:rFonts w:hint="eastAsia"/>
        </w:rPr>
      </w:pPr>
    </w:p>
    <w:p w14:paraId="077D0ECF">
      <w:pPr>
        <w:rPr>
          <w:rFonts w:hint="eastAsia"/>
        </w:rPr>
      </w:pPr>
      <w:r>
        <w:rPr>
          <w:rFonts w:hint="eastAsia"/>
        </w:rPr>
        <w:t>Foreign Direct Investment refers to foreign investment in China through the establishment of foreign invested enterprises, cooperative exploration and development of petroleum resources with domestic investors and the establishment of branch organizations of foreign enterprises. Foreign investment can be made in forms of cash, physical investment, intangible assets and equity, in addition with reinvestment of the foreign enterprises with the profits gained from the investment.</w:t>
      </w:r>
    </w:p>
    <w:p w14:paraId="10D4F180">
      <w:pPr>
        <w:rPr>
          <w:rFonts w:hint="eastAsia"/>
        </w:rPr>
      </w:pPr>
    </w:p>
    <w:p w14:paraId="22A68F47">
      <w:pPr>
        <w:rPr>
          <w:rFonts w:hint="eastAsia"/>
        </w:rPr>
      </w:pPr>
      <w:r>
        <w:rPr>
          <w:rFonts w:hint="eastAsia"/>
        </w:rPr>
        <w:t>Other Foreign Investment refers to all forms of utilization of foreign capitals other than foreign borrowings and foreign direct investment. It includes the total value of stock shares in foreign currencies issued by enterprises at domestic or foreign stock exchanges, rent payable for the imported equipment through international leasing arrangement, cost of imported equipment, technology and materials provided by foreign counterparts in compensation trade and processing and assembly trade.</w:t>
      </w:r>
    </w:p>
    <w:p w14:paraId="69CA1BF7">
      <w:pPr>
        <w:rPr>
          <w:rFonts w:hint="eastAsia"/>
        </w:rPr>
      </w:pPr>
    </w:p>
    <w:p w14:paraId="4A8B0B27">
      <w:pPr>
        <w:rPr>
          <w:rFonts w:hint="eastAsia"/>
        </w:rPr>
      </w:pPr>
      <w:r>
        <w:rPr>
          <w:rFonts w:hint="eastAsia"/>
        </w:rPr>
        <w:t xml:space="preserve">Overseas Direct Investment refers to investment made by domestic enterprises and organizations (referred to as domestic investors) in foreign countries and Hong Kong SAR, Macao SAR and Taiwan province in forms of cash, physical investment and intangible assets, and the economic activities centring on operation and management of those enterprises are under the control of domestic investors. The content of overseas direct investment mainly reflects one economic entity by investing in another economic entity to achieve its goal of lasting interest. </w:t>
      </w:r>
    </w:p>
    <w:p w14:paraId="13675D9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1503E8"/>
    <w:rsid w:val="4BFC1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655</Words>
  <Characters>3851</Characters>
  <Lines>0</Lines>
  <Paragraphs>0</Paragraphs>
  <TotalTime>0</TotalTime>
  <ScaleCrop>false</ScaleCrop>
  <LinksUpToDate>false</LinksUpToDate>
  <CharactersWithSpaces>4497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2026-02-05T07:59:00Z</dcterms:created>
  <dc:creator>HW</dc:creator>
  <cp:lastModifiedBy>天露微曦</cp:lastModifiedBy>
  <dcterms:modified xsi:type="dcterms:W3CDTF">2026-04-21T09:48:14Z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eyJoZGlkIjoiODcxZjdhZDI2ZGMyNjRkNWE3MWQyN2IyZmE3NTk5MTMiLCJ1c2VySWQiOiIzMjg0OTk2MjMifQ==</vt:lpwstr>
  </property>
  <property fmtid="{D5CDD505-2E9C-101B-9397-08002B2CF9AE}" pid="4" name="ICV">
    <vt:lpwstr>AF6E9288D9654B04BC6429A33273A46B_12</vt:lpwstr>
  </property>
</Properties>
</file>